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89" w:rsidRPr="00971EE9" w:rsidRDefault="007D5389" w:rsidP="007D5389">
      <w:pPr>
        <w:jc w:val="center"/>
        <w:rPr>
          <w:b/>
        </w:rPr>
      </w:pPr>
      <w:r w:rsidRPr="00971EE9">
        <w:rPr>
          <w:b/>
        </w:rPr>
        <w:t>BIEN3 Milestones and Development Timeline</w:t>
      </w:r>
    </w:p>
    <w:p w:rsidR="007D5389" w:rsidRDefault="007D5389" w:rsidP="007D5389">
      <w:pPr>
        <w:jc w:val="center"/>
      </w:pPr>
    </w:p>
    <w:p w:rsidR="007D5389" w:rsidRDefault="007D5389" w:rsidP="007D5389">
      <w:pPr>
        <w:jc w:val="center"/>
      </w:pPr>
      <w:r>
        <w:t>Draft, 12 December 2011</w:t>
      </w:r>
    </w:p>
    <w:p w:rsidR="007D5389" w:rsidRDefault="007D5389" w:rsidP="007D5389">
      <w:pPr>
        <w:jc w:val="center"/>
      </w:pPr>
      <w:r>
        <w:t>B. Boyle</w:t>
      </w:r>
    </w:p>
    <w:p w:rsidR="007D5389" w:rsidRDefault="007D5389" w:rsidP="007D5389"/>
    <w:p w:rsidR="007D5389" w:rsidRDefault="007D5389" w:rsidP="007D5389">
      <w:r>
        <w:t>The following is a list of the principal goals for the development of the BIEN3 database and website, roughly in order of development, followed by a proposed development timeline.</w:t>
      </w:r>
    </w:p>
    <w:p w:rsidR="007D5389" w:rsidRDefault="007D5389" w:rsidP="007D5389"/>
    <w:p w:rsidR="007D5389" w:rsidRPr="00971EE9" w:rsidRDefault="007D5389" w:rsidP="007D5389">
      <w:pPr>
        <w:rPr>
          <w:b/>
        </w:rPr>
      </w:pPr>
      <w:r w:rsidRPr="00971EE9">
        <w:rPr>
          <w:b/>
        </w:rPr>
        <w:t>Development milestones</w:t>
      </w:r>
    </w:p>
    <w:p w:rsidR="007D5389" w:rsidRDefault="007D5389" w:rsidP="007D5389"/>
    <w:p w:rsidR="007D5389" w:rsidRDefault="007D5389" w:rsidP="007D5389">
      <w:pPr>
        <w:pStyle w:val="ListParagraph"/>
        <w:numPr>
          <w:ilvl w:val="0"/>
          <w:numId w:val="2"/>
        </w:numPr>
      </w:pPr>
      <w:r>
        <w:t>Initial development of BIEN3 database and import utilities</w:t>
      </w:r>
    </w:p>
    <w:p w:rsidR="007D5389" w:rsidRDefault="007D5389" w:rsidP="007D5389">
      <w:pPr>
        <w:pStyle w:val="ListParagraph"/>
        <w:numPr>
          <w:ilvl w:val="1"/>
          <w:numId w:val="2"/>
        </w:numPr>
      </w:pPr>
      <w:r>
        <w:t>P</w:t>
      </w:r>
      <w:r>
        <w:t>reliminary build of BIEN3 database (</w:t>
      </w:r>
      <w:proofErr w:type="spellStart"/>
      <w:r>
        <w:t>VegBIEN</w:t>
      </w:r>
      <w:proofErr w:type="spellEnd"/>
      <w:r>
        <w:t xml:space="preserve">) based on </w:t>
      </w:r>
      <w:proofErr w:type="spellStart"/>
      <w:r>
        <w:t>Vegbank</w:t>
      </w:r>
      <w:proofErr w:type="spellEnd"/>
    </w:p>
    <w:p w:rsidR="007D5389" w:rsidRDefault="007D5389" w:rsidP="007D5389">
      <w:pPr>
        <w:pStyle w:val="ListParagraph"/>
        <w:numPr>
          <w:ilvl w:val="1"/>
          <w:numId w:val="2"/>
        </w:numPr>
      </w:pPr>
      <w:r>
        <w:t xml:space="preserve">Preliminary mapping script from </w:t>
      </w:r>
      <w:proofErr w:type="spellStart"/>
      <w:r>
        <w:t>VegX</w:t>
      </w:r>
      <w:proofErr w:type="spellEnd"/>
      <w:r>
        <w:t xml:space="preserve"> to </w:t>
      </w:r>
      <w:proofErr w:type="spellStart"/>
      <w:r>
        <w:t>VegBIEN</w:t>
      </w:r>
      <w:proofErr w:type="spellEnd"/>
    </w:p>
    <w:p w:rsidR="007D5389" w:rsidRDefault="007D5389" w:rsidP="007D5389">
      <w:pPr>
        <w:pStyle w:val="ListParagraph"/>
        <w:numPr>
          <w:ilvl w:val="1"/>
          <w:numId w:val="2"/>
        </w:numPr>
      </w:pPr>
      <w:r>
        <w:t xml:space="preserve">Additions to </w:t>
      </w:r>
      <w:proofErr w:type="spellStart"/>
      <w:r>
        <w:t>VegBIEN</w:t>
      </w:r>
      <w:proofErr w:type="spellEnd"/>
      <w:r>
        <w:t xml:space="preserve"> to support trait data</w:t>
      </w:r>
    </w:p>
    <w:p w:rsidR="007D5389" w:rsidRDefault="007D5389" w:rsidP="007D5389">
      <w:pPr>
        <w:pStyle w:val="ListParagraph"/>
        <w:numPr>
          <w:ilvl w:val="1"/>
          <w:numId w:val="2"/>
        </w:numPr>
      </w:pPr>
      <w:r>
        <w:t>Develop trial loading and mapping scripts for source</w:t>
      </w:r>
      <w:r>
        <w:sym w:font="Wingdings" w:char="F0E0"/>
      </w:r>
      <w:proofErr w:type="spellStart"/>
      <w:r>
        <w:t>VegX</w:t>
      </w:r>
      <w:proofErr w:type="spellEnd"/>
      <w:r>
        <w:t xml:space="preserve"> and </w:t>
      </w:r>
      <w:proofErr w:type="spellStart"/>
      <w:r>
        <w:t>Veg</w:t>
      </w:r>
      <w:r>
        <w:t>X</w:t>
      </w:r>
      <w:proofErr w:type="spellEnd"/>
      <w:r>
        <w:sym w:font="Wingdings" w:char="F0E0"/>
      </w:r>
      <w:proofErr w:type="spellStart"/>
      <w:r>
        <w:t>VegBIEN</w:t>
      </w:r>
      <w:proofErr w:type="spellEnd"/>
      <w:r>
        <w:t xml:space="preserve"> using example data sources:</w:t>
      </w:r>
    </w:p>
    <w:p w:rsidR="007D5389" w:rsidRDefault="007D5389" w:rsidP="007D5389">
      <w:pPr>
        <w:pStyle w:val="ListParagraph"/>
        <w:numPr>
          <w:ilvl w:val="2"/>
          <w:numId w:val="3"/>
        </w:numPr>
      </w:pPr>
      <w:r>
        <w:t xml:space="preserve">Specimens: NYBG (one specimen example should suffice for initial trail; </w:t>
      </w:r>
      <w:proofErr w:type="spellStart"/>
      <w:r>
        <w:t>DwC</w:t>
      </w:r>
      <w:proofErr w:type="spellEnd"/>
      <w:r>
        <w:t xml:space="preserve"> fairly consistent)</w:t>
      </w:r>
    </w:p>
    <w:p w:rsidR="007D5389" w:rsidRDefault="007D5389" w:rsidP="007D5389">
      <w:pPr>
        <w:pStyle w:val="ListParagraph"/>
        <w:numPr>
          <w:ilvl w:val="2"/>
          <w:numId w:val="3"/>
        </w:numPr>
      </w:pPr>
      <w:r>
        <w:t xml:space="preserve">Plots (in increasing order of complexity: SALVIAS, </w:t>
      </w:r>
      <w:proofErr w:type="spellStart"/>
      <w:r>
        <w:t>TurboVeg</w:t>
      </w:r>
      <w:proofErr w:type="spellEnd"/>
      <w:r>
        <w:t xml:space="preserve">, RAINFOR, NVS (New Zealand), CTFS, </w:t>
      </w:r>
      <w:proofErr w:type="spellStart"/>
      <w:r>
        <w:t>VegBank</w:t>
      </w:r>
      <w:proofErr w:type="spellEnd"/>
      <w:r>
        <w:t>)</w:t>
      </w:r>
    </w:p>
    <w:p w:rsidR="007D5389" w:rsidRDefault="007D5389" w:rsidP="007D5389">
      <w:pPr>
        <w:pStyle w:val="ListParagraph"/>
        <w:numPr>
          <w:ilvl w:val="2"/>
          <w:numId w:val="3"/>
        </w:numPr>
      </w:pPr>
      <w:r>
        <w:t>Traits</w:t>
      </w:r>
    </w:p>
    <w:p w:rsidR="007D5389" w:rsidRDefault="007D5389" w:rsidP="007D5389">
      <w:pPr>
        <w:pStyle w:val="ListParagraph"/>
        <w:numPr>
          <w:ilvl w:val="2"/>
          <w:numId w:val="3"/>
        </w:numPr>
      </w:pPr>
      <w:r>
        <w:t>Full validation of all above mappings, working with someone familiar with each data source</w:t>
      </w:r>
    </w:p>
    <w:p w:rsidR="007D5389" w:rsidRDefault="007D5389" w:rsidP="007D5389">
      <w:pPr>
        <w:pStyle w:val="ListParagraph"/>
        <w:numPr>
          <w:ilvl w:val="0"/>
          <w:numId w:val="3"/>
        </w:numPr>
      </w:pPr>
      <w:r>
        <w:t>Revise schemas I</w:t>
      </w:r>
    </w:p>
    <w:p w:rsidR="007D5389" w:rsidRDefault="007D5389" w:rsidP="007D5389">
      <w:pPr>
        <w:pStyle w:val="ListParagraph"/>
        <w:numPr>
          <w:ilvl w:val="0"/>
          <w:numId w:val="5"/>
        </w:numPr>
      </w:pPr>
      <w:r>
        <w:t xml:space="preserve">Summarize shortcomings of </w:t>
      </w:r>
      <w:proofErr w:type="spellStart"/>
      <w:r>
        <w:t>VegX</w:t>
      </w:r>
      <w:proofErr w:type="spellEnd"/>
      <w:r>
        <w:t xml:space="preserve"> and </w:t>
      </w:r>
      <w:proofErr w:type="spellStart"/>
      <w:r>
        <w:t>VegBIEN</w:t>
      </w:r>
      <w:proofErr w:type="spellEnd"/>
      <w:r>
        <w:t xml:space="preserve"> schemas, and recommend changes. Issues to address include accurate modeling of individual </w:t>
      </w:r>
      <w:proofErr w:type="gramStart"/>
      <w:r>
        <w:t>observations</w:t>
      </w:r>
      <w:proofErr w:type="gramEnd"/>
      <w:r>
        <w:t xml:space="preserve"> (stems nested in individual trees), specimen vouchering of plot observations, </w:t>
      </w:r>
      <w:proofErr w:type="spellStart"/>
      <w:r>
        <w:t>morphospecies</w:t>
      </w:r>
      <w:proofErr w:type="spellEnd"/>
      <w:r>
        <w:t xml:space="preserve">, metadata concerning ownership and access. Possibly also propose changes to </w:t>
      </w:r>
      <w:proofErr w:type="spellStart"/>
      <w:r>
        <w:t>DwC</w:t>
      </w:r>
      <w:proofErr w:type="spellEnd"/>
      <w:r>
        <w:t xml:space="preserve"> to support herbarium database fields such as "Cultivated".</w:t>
      </w:r>
    </w:p>
    <w:p w:rsidR="007D5389" w:rsidRDefault="007D5389" w:rsidP="007D5389">
      <w:pPr>
        <w:pStyle w:val="ListParagraph"/>
        <w:numPr>
          <w:ilvl w:val="0"/>
          <w:numId w:val="5"/>
        </w:numPr>
      </w:pPr>
      <w:r>
        <w:t xml:space="preserve">Modify </w:t>
      </w:r>
      <w:proofErr w:type="spellStart"/>
      <w:r>
        <w:t>VegX</w:t>
      </w:r>
      <w:proofErr w:type="spellEnd"/>
      <w:r>
        <w:t xml:space="preserve"> and </w:t>
      </w:r>
      <w:proofErr w:type="spellStart"/>
      <w:r>
        <w:t>VegBIEN</w:t>
      </w:r>
      <w:proofErr w:type="spellEnd"/>
      <w:r>
        <w:t xml:space="preserve"> (Nick Spencer to implement changes to </w:t>
      </w:r>
      <w:proofErr w:type="spellStart"/>
      <w:r>
        <w:t>VegX</w:t>
      </w:r>
      <w:proofErr w:type="spellEnd"/>
      <w:r>
        <w:t xml:space="preserve"> and update TDWG)</w:t>
      </w:r>
    </w:p>
    <w:p w:rsidR="007D5389" w:rsidRDefault="007D5389" w:rsidP="007D5389">
      <w:pPr>
        <w:pStyle w:val="ListParagraph"/>
        <w:numPr>
          <w:ilvl w:val="0"/>
          <w:numId w:val="3"/>
        </w:numPr>
      </w:pPr>
      <w:r>
        <w:t>Load data</w:t>
      </w:r>
    </w:p>
    <w:p w:rsidR="007D5389" w:rsidRDefault="007D5389" w:rsidP="007D5389">
      <w:pPr>
        <w:pStyle w:val="ListParagraph"/>
        <w:numPr>
          <w:ilvl w:val="0"/>
          <w:numId w:val="6"/>
        </w:numPr>
      </w:pPr>
      <w:r>
        <w:t xml:space="preserve">Develop mappings (as needed) to all data originally in BIEN2, </w:t>
      </w:r>
      <w:proofErr w:type="gramStart"/>
      <w:r>
        <w:t>using  complete</w:t>
      </w:r>
      <w:proofErr w:type="gramEnd"/>
      <w:r>
        <w:t xml:space="preserve"> original sources where possible, including all necessary metadata. For specimens, if get new dump, request 'Cultivated' field if available. Sources: </w:t>
      </w:r>
    </w:p>
    <w:p w:rsidR="007D5389" w:rsidRDefault="007D5389" w:rsidP="007D5389">
      <w:pPr>
        <w:pStyle w:val="ListParagraph"/>
        <w:numPr>
          <w:ilvl w:val="2"/>
          <w:numId w:val="4"/>
        </w:numPr>
      </w:pPr>
      <w:r>
        <w:t>Specimens (</w:t>
      </w:r>
      <w:proofErr w:type="spellStart"/>
      <w:r>
        <w:t>DwC</w:t>
      </w:r>
      <w:proofErr w:type="spellEnd"/>
      <w:r>
        <w:t xml:space="preserve"> format): NYBG, ARIZ, CRIA (need to modify headings slightly), GBIF (request new dump), Canadian herbaria </w:t>
      </w:r>
    </w:p>
    <w:p w:rsidR="007D5389" w:rsidRDefault="007D5389" w:rsidP="007D5389">
      <w:pPr>
        <w:pStyle w:val="ListParagraph"/>
        <w:numPr>
          <w:ilvl w:val="2"/>
          <w:numId w:val="4"/>
        </w:numPr>
      </w:pPr>
      <w:r>
        <w:t xml:space="preserve">Specimens not in </w:t>
      </w:r>
      <w:proofErr w:type="spellStart"/>
      <w:r>
        <w:t>DwC</w:t>
      </w:r>
      <w:proofErr w:type="spellEnd"/>
      <w:r>
        <w:t xml:space="preserve"> (request new dumps): REMIB (Can't get new dump, but Brad could modify original), Utrecht, </w:t>
      </w:r>
      <w:r w:rsidRPr="000E67F8">
        <w:t>NCU-NCSC</w:t>
      </w:r>
      <w:r>
        <w:t xml:space="preserve">, </w:t>
      </w:r>
      <w:r w:rsidRPr="000E67F8">
        <w:t>UNCC</w:t>
      </w:r>
      <w:r>
        <w:t xml:space="preserve">, MO (this is only a partial </w:t>
      </w:r>
      <w:proofErr w:type="spellStart"/>
      <w:r>
        <w:t>DwC</w:t>
      </w:r>
      <w:proofErr w:type="spellEnd"/>
      <w:r>
        <w:t xml:space="preserve"> dump; many fields missing, such as specimen description), GBIF</w:t>
      </w:r>
    </w:p>
    <w:p w:rsidR="007D5389" w:rsidRDefault="007D5389" w:rsidP="007D5389">
      <w:pPr>
        <w:pStyle w:val="ListParagraph"/>
        <w:numPr>
          <w:ilvl w:val="2"/>
          <w:numId w:val="4"/>
        </w:numPr>
      </w:pPr>
      <w:r>
        <w:t xml:space="preserve">Plots: CTFS, CVS, FIA, </w:t>
      </w:r>
      <w:proofErr w:type="spellStart"/>
      <w:r>
        <w:t>Madidi</w:t>
      </w:r>
      <w:proofErr w:type="spellEnd"/>
      <w:r>
        <w:t xml:space="preserve">, RAINFOR, SALVIAS, TEAM, </w:t>
      </w:r>
      <w:proofErr w:type="spellStart"/>
      <w:r>
        <w:t>VegBank</w:t>
      </w:r>
      <w:proofErr w:type="spellEnd"/>
    </w:p>
    <w:p w:rsidR="007D5389" w:rsidRDefault="007D5389" w:rsidP="007D5389">
      <w:pPr>
        <w:pStyle w:val="ListParagraph"/>
        <w:numPr>
          <w:ilvl w:val="1"/>
          <w:numId w:val="4"/>
        </w:numPr>
      </w:pPr>
      <w:r>
        <w:t>Load all data to BIEN3</w:t>
      </w:r>
    </w:p>
    <w:p w:rsidR="007D5389" w:rsidRDefault="007D5389" w:rsidP="007D5389">
      <w:pPr>
        <w:pStyle w:val="ListParagraph"/>
        <w:numPr>
          <w:ilvl w:val="0"/>
          <w:numId w:val="3"/>
        </w:numPr>
      </w:pPr>
      <w:r>
        <w:t>Revise schemas II</w:t>
      </w:r>
    </w:p>
    <w:p w:rsidR="007D5389" w:rsidRDefault="007D5389" w:rsidP="007D5389">
      <w:pPr>
        <w:pStyle w:val="ListParagraph"/>
        <w:numPr>
          <w:ilvl w:val="0"/>
          <w:numId w:val="7"/>
        </w:numPr>
      </w:pPr>
      <w:r>
        <w:t xml:space="preserve">Make additional changes to </w:t>
      </w:r>
      <w:proofErr w:type="spellStart"/>
      <w:r>
        <w:t>VegX</w:t>
      </w:r>
      <w:proofErr w:type="spellEnd"/>
      <w:r>
        <w:t xml:space="preserve"> or </w:t>
      </w:r>
      <w:proofErr w:type="spellStart"/>
      <w:r>
        <w:t>VegBIEN</w:t>
      </w:r>
      <w:proofErr w:type="spellEnd"/>
      <w:r>
        <w:t xml:space="preserve"> based on issues discovered while loading data</w:t>
      </w:r>
    </w:p>
    <w:p w:rsidR="007D5389" w:rsidRDefault="007D5389" w:rsidP="007D5389">
      <w:pPr>
        <w:pStyle w:val="ListParagraph"/>
        <w:numPr>
          <w:ilvl w:val="0"/>
          <w:numId w:val="3"/>
        </w:numPr>
      </w:pPr>
      <w:r>
        <w:t>Reload all data, using revised schemas and mappings</w:t>
      </w:r>
    </w:p>
    <w:p w:rsidR="007D5389" w:rsidRDefault="007D5389" w:rsidP="007D5389">
      <w:pPr>
        <w:pStyle w:val="ListParagraph"/>
        <w:numPr>
          <w:ilvl w:val="1"/>
          <w:numId w:val="3"/>
        </w:numPr>
      </w:pPr>
      <w:r>
        <w:t>Load data</w:t>
      </w:r>
    </w:p>
    <w:p w:rsidR="007D5389" w:rsidRDefault="007D5389" w:rsidP="007D5389">
      <w:pPr>
        <w:pStyle w:val="ListParagraph"/>
        <w:numPr>
          <w:ilvl w:val="0"/>
          <w:numId w:val="3"/>
        </w:numPr>
      </w:pPr>
      <w:r>
        <w:t>Develop validation utilities</w:t>
      </w:r>
    </w:p>
    <w:p w:rsidR="007D5389" w:rsidRDefault="007D5389" w:rsidP="007D5389">
      <w:pPr>
        <w:pStyle w:val="ListParagraph"/>
        <w:numPr>
          <w:ilvl w:val="1"/>
          <w:numId w:val="3"/>
        </w:numPr>
      </w:pPr>
      <w:r>
        <w:t>Taxonomic validation</w:t>
      </w:r>
    </w:p>
    <w:p w:rsidR="007D5389" w:rsidRDefault="007D5389" w:rsidP="007D5389">
      <w:pPr>
        <w:pStyle w:val="ListParagraph"/>
        <w:numPr>
          <w:ilvl w:val="2"/>
          <w:numId w:val="3"/>
        </w:numPr>
      </w:pPr>
      <w:r>
        <w:t xml:space="preserve">Automated </w:t>
      </w:r>
      <w:proofErr w:type="spellStart"/>
      <w:r>
        <w:t>taxon</w:t>
      </w:r>
      <w:proofErr w:type="spellEnd"/>
      <w:r>
        <w:t xml:space="preserve"> correction using TNRS web service </w:t>
      </w:r>
    </w:p>
    <w:p w:rsidR="007D5389" w:rsidRDefault="007D5389" w:rsidP="007D5389">
      <w:pPr>
        <w:pStyle w:val="ListParagraph"/>
        <w:numPr>
          <w:ilvl w:val="2"/>
          <w:numId w:val="3"/>
        </w:numPr>
      </w:pPr>
      <w:r>
        <w:t>Validation scripts for double checking TNRS results as loaded to BIEN</w:t>
      </w:r>
    </w:p>
    <w:p w:rsidR="007D5389" w:rsidRDefault="007D5389" w:rsidP="007D5389">
      <w:pPr>
        <w:pStyle w:val="ListParagraph"/>
        <w:numPr>
          <w:ilvl w:val="1"/>
          <w:numId w:val="3"/>
        </w:numPr>
      </w:pPr>
      <w:proofErr w:type="spellStart"/>
      <w:r>
        <w:t>Georeferencing</w:t>
      </w:r>
      <w:proofErr w:type="spellEnd"/>
    </w:p>
    <w:p w:rsidR="007D5389" w:rsidRDefault="007D5389" w:rsidP="007D5389">
      <w:pPr>
        <w:pStyle w:val="ListParagraph"/>
        <w:numPr>
          <w:ilvl w:val="2"/>
          <w:numId w:val="3"/>
        </w:numPr>
      </w:pPr>
      <w:r>
        <w:t xml:space="preserve">Develop new scripts that use </w:t>
      </w:r>
      <w:commentRangeStart w:id="0"/>
      <w:r>
        <w:t xml:space="preserve">existing web services to </w:t>
      </w:r>
      <w:proofErr w:type="spellStart"/>
      <w:r>
        <w:t>georeference</w:t>
      </w:r>
      <w:commentRangeEnd w:id="0"/>
      <w:proofErr w:type="spellEnd"/>
      <w:r>
        <w:rPr>
          <w:rStyle w:val="CommentReference"/>
          <w:vanish/>
        </w:rPr>
        <w:commentReference w:id="0"/>
      </w:r>
      <w:r>
        <w:t xml:space="preserve"> additional records</w:t>
      </w:r>
    </w:p>
    <w:p w:rsidR="007D5389" w:rsidRDefault="007D5389" w:rsidP="007D5389">
      <w:pPr>
        <w:pStyle w:val="ListParagraph"/>
        <w:numPr>
          <w:ilvl w:val="1"/>
          <w:numId w:val="3"/>
        </w:numPr>
      </w:pPr>
      <w:commentRangeStart w:id="1"/>
      <w:proofErr w:type="spellStart"/>
      <w:r>
        <w:t>Geovalidation</w:t>
      </w:r>
      <w:commentRangeEnd w:id="1"/>
      <w:proofErr w:type="spellEnd"/>
      <w:r>
        <w:rPr>
          <w:rStyle w:val="CommentReference"/>
          <w:vanish/>
        </w:rPr>
        <w:commentReference w:id="1"/>
      </w:r>
    </w:p>
    <w:p w:rsidR="007D5389" w:rsidRDefault="007D5389" w:rsidP="007D5389">
      <w:pPr>
        <w:pStyle w:val="ListParagraph"/>
        <w:numPr>
          <w:ilvl w:val="2"/>
          <w:numId w:val="3"/>
        </w:numPr>
      </w:pPr>
      <w:r>
        <w:t xml:space="preserve">Replicate current </w:t>
      </w:r>
      <w:proofErr w:type="spellStart"/>
      <w:r>
        <w:t>geovalidations</w:t>
      </w:r>
      <w:proofErr w:type="spellEnd"/>
      <w:r>
        <w:t xml:space="preserve"> (BIEN2), increasing use of web services for reference data (BIEN2 version used numerous static tables of political division names, etc.)</w:t>
      </w:r>
    </w:p>
    <w:p w:rsidR="007D5389" w:rsidRDefault="007D5389" w:rsidP="007D5389">
      <w:pPr>
        <w:pStyle w:val="ListParagraph"/>
        <w:numPr>
          <w:ilvl w:val="1"/>
          <w:numId w:val="3"/>
        </w:numPr>
      </w:pPr>
      <w:r>
        <w:t>Other validations</w:t>
      </w:r>
    </w:p>
    <w:p w:rsidR="007D5389" w:rsidRDefault="007D5389" w:rsidP="007D5389">
      <w:pPr>
        <w:pStyle w:val="ListParagraph"/>
        <w:numPr>
          <w:ilvl w:val="0"/>
          <w:numId w:val="3"/>
        </w:numPr>
      </w:pPr>
      <w:r>
        <w:t>Analytical database</w:t>
      </w:r>
    </w:p>
    <w:p w:rsidR="007D5389" w:rsidRDefault="007D5389" w:rsidP="007D5389">
      <w:pPr>
        <w:pStyle w:val="ListParagraph"/>
        <w:numPr>
          <w:ilvl w:val="1"/>
          <w:numId w:val="3"/>
        </w:numPr>
      </w:pPr>
      <w:r>
        <w:t>Construct variety of analytical views to be used for direct data download, as well as for querying data via web interface</w:t>
      </w:r>
    </w:p>
    <w:p w:rsidR="007D5389" w:rsidRDefault="007D5389" w:rsidP="007D5389">
      <w:pPr>
        <w:pStyle w:val="ListParagraph"/>
        <w:numPr>
          <w:ilvl w:val="1"/>
          <w:numId w:val="3"/>
        </w:numPr>
      </w:pPr>
      <w:r>
        <w:t xml:space="preserve">Including but not limited to BIEN2's </w:t>
      </w:r>
      <w:proofErr w:type="spellStart"/>
      <w:r>
        <w:t>viewFullOccurrence</w:t>
      </w:r>
      <w:proofErr w:type="spellEnd"/>
      <w:r>
        <w:t xml:space="preserve"> and other summary tables developed by Brad</w:t>
      </w:r>
    </w:p>
    <w:p w:rsidR="007D5389" w:rsidRDefault="007D5389" w:rsidP="007D5389">
      <w:pPr>
        <w:pStyle w:val="ListParagraph"/>
        <w:numPr>
          <w:ilvl w:val="0"/>
          <w:numId w:val="3"/>
        </w:numPr>
      </w:pPr>
      <w:r>
        <w:t>Data provider feedback</w:t>
      </w:r>
    </w:p>
    <w:p w:rsidR="007D5389" w:rsidRDefault="007D5389" w:rsidP="007D5389">
      <w:pPr>
        <w:pStyle w:val="ListParagraph"/>
        <w:numPr>
          <w:ilvl w:val="1"/>
          <w:numId w:val="12"/>
        </w:numPr>
      </w:pPr>
      <w:r>
        <w:t xml:space="preserve">Scripts to assemble error reports as feedback to data providers. Should report on errors found during loading, taxonomic validation and </w:t>
      </w:r>
      <w:proofErr w:type="spellStart"/>
      <w:r>
        <w:t>geovalidation</w:t>
      </w:r>
      <w:proofErr w:type="spellEnd"/>
    </w:p>
    <w:p w:rsidR="007D5389" w:rsidRDefault="007D5389" w:rsidP="007D5389">
      <w:pPr>
        <w:pStyle w:val="ListParagraph"/>
        <w:numPr>
          <w:ilvl w:val="0"/>
          <w:numId w:val="3"/>
        </w:numPr>
      </w:pPr>
      <w:commentRangeStart w:id="2"/>
      <w:r>
        <w:t>Website</w:t>
      </w:r>
      <w:commentRangeEnd w:id="2"/>
      <w:r>
        <w:rPr>
          <w:rStyle w:val="CommentReference"/>
          <w:vanish/>
        </w:rPr>
        <w:commentReference w:id="2"/>
      </w:r>
    </w:p>
    <w:p w:rsidR="007D5389" w:rsidRDefault="007D5389" w:rsidP="007D5389">
      <w:pPr>
        <w:pStyle w:val="ListParagraph"/>
        <w:numPr>
          <w:ilvl w:val="1"/>
          <w:numId w:val="3"/>
        </w:numPr>
      </w:pPr>
      <w:r>
        <w:t>Develop website for serving raw data from BIEN database, as well as derived data products such as species maps. Will include following elements:</w:t>
      </w:r>
    </w:p>
    <w:p w:rsidR="007D5389" w:rsidRDefault="007D5389" w:rsidP="007D5389">
      <w:pPr>
        <w:pStyle w:val="ListParagraph"/>
        <w:numPr>
          <w:ilvl w:val="2"/>
          <w:numId w:val="3"/>
        </w:numPr>
      </w:pPr>
      <w:r>
        <w:t>BIEN3 web database (extracted but separate from core and analytical databases developed above)</w:t>
      </w:r>
    </w:p>
    <w:p w:rsidR="007D5389" w:rsidRDefault="007D5389" w:rsidP="007D5389">
      <w:pPr>
        <w:pStyle w:val="ListParagraph"/>
        <w:numPr>
          <w:ilvl w:val="2"/>
          <w:numId w:val="3"/>
        </w:numPr>
      </w:pPr>
      <w:r>
        <w:t>User database</w:t>
      </w:r>
    </w:p>
    <w:p w:rsidR="007D5389" w:rsidRDefault="007D5389" w:rsidP="007D5389">
      <w:pPr>
        <w:pStyle w:val="ListParagraph"/>
        <w:numPr>
          <w:ilvl w:val="2"/>
          <w:numId w:val="3"/>
        </w:numPr>
      </w:pPr>
      <w:r>
        <w:t>Web front end, including different levels of read-only and write access, from general public to data owners and web administrators. Should support user-level management of data access and sharing, similar to current SALVIAS website.</w:t>
      </w:r>
    </w:p>
    <w:p w:rsidR="007D5389" w:rsidRDefault="007D5389" w:rsidP="007D5389">
      <w:pPr>
        <w:pStyle w:val="ListParagraph"/>
        <w:numPr>
          <w:ilvl w:val="2"/>
          <w:numId w:val="3"/>
        </w:numPr>
      </w:pPr>
      <w:r>
        <w:t>Access to derived data products such as species range maps. Production of derived products is out-of-scope, but will still need to develop tools for accessing, storing and serving these products.</w:t>
      </w:r>
    </w:p>
    <w:p w:rsidR="007D5389" w:rsidRDefault="007D5389" w:rsidP="007D5389">
      <w:pPr>
        <w:pStyle w:val="ListParagraph"/>
        <w:numPr>
          <w:ilvl w:val="2"/>
          <w:numId w:val="3"/>
        </w:numPr>
      </w:pPr>
      <w:r>
        <w:t xml:space="preserve">Web access to </w:t>
      </w:r>
      <w:proofErr w:type="spellStart"/>
      <w:r>
        <w:t>geovalidation</w:t>
      </w:r>
      <w:proofErr w:type="spellEnd"/>
      <w:r>
        <w:t xml:space="preserve"> tools (GNRS)</w:t>
      </w:r>
    </w:p>
    <w:p w:rsidR="007D5389" w:rsidRDefault="007D5389" w:rsidP="007D5389">
      <w:pPr>
        <w:pStyle w:val="ListParagraph"/>
        <w:numPr>
          <w:ilvl w:val="0"/>
          <w:numId w:val="3"/>
        </w:numPr>
      </w:pPr>
      <w:r>
        <w:t>Acquire, map and load additional data</w:t>
      </w:r>
    </w:p>
    <w:p w:rsidR="007D5389" w:rsidRDefault="007D5389" w:rsidP="007D5389">
      <w:pPr>
        <w:pStyle w:val="ListParagraph"/>
      </w:pPr>
    </w:p>
    <w:p w:rsidR="007D5389" w:rsidRDefault="007D5389" w:rsidP="007D5389">
      <w:pPr>
        <w:pStyle w:val="ListParagraph"/>
        <w:ind w:left="0"/>
        <w:rPr>
          <w:b/>
        </w:rPr>
      </w:pPr>
      <w:r>
        <w:rPr>
          <w:b/>
        </w:rPr>
        <w:t>Additional goals</w:t>
      </w:r>
    </w:p>
    <w:p w:rsidR="007D5389" w:rsidRPr="00971EE9" w:rsidRDefault="007D5389" w:rsidP="007D5389">
      <w:pPr>
        <w:pStyle w:val="ListParagraph"/>
        <w:ind w:left="0"/>
      </w:pPr>
    </w:p>
    <w:p w:rsidR="007D5389" w:rsidRPr="00971EE9" w:rsidRDefault="007D5389" w:rsidP="007D5389">
      <w:pPr>
        <w:pStyle w:val="ListParagraph"/>
        <w:ind w:left="0"/>
      </w:pPr>
      <w:r w:rsidRPr="00971EE9">
        <w:t xml:space="preserve">The following goals would be </w:t>
      </w:r>
      <w:r>
        <w:t>important achievements</w:t>
      </w:r>
      <w:r w:rsidRPr="00971EE9">
        <w:t xml:space="preserve">, but may require more time, more personnel or additional financial support or outside collaboration. </w:t>
      </w:r>
    </w:p>
    <w:p w:rsidR="007D5389" w:rsidRPr="00971EE9" w:rsidRDefault="007D5389" w:rsidP="007D5389">
      <w:pPr>
        <w:pStyle w:val="ListParagraph"/>
        <w:ind w:left="0"/>
      </w:pPr>
    </w:p>
    <w:p w:rsidR="007D5389" w:rsidRDefault="007D5389" w:rsidP="007D5389">
      <w:pPr>
        <w:pStyle w:val="ListParagraph"/>
        <w:numPr>
          <w:ilvl w:val="0"/>
          <w:numId w:val="20"/>
        </w:numPr>
      </w:pPr>
      <w:r>
        <w:t>Data-mapping tool</w:t>
      </w:r>
    </w:p>
    <w:p w:rsidR="007D5389" w:rsidRDefault="007D5389" w:rsidP="007D5389">
      <w:pPr>
        <w:pStyle w:val="ListParagraph"/>
        <w:numPr>
          <w:ilvl w:val="1"/>
          <w:numId w:val="20"/>
        </w:numPr>
      </w:pPr>
      <w:r>
        <w:t xml:space="preserve">Desktop (or web?) tool for mapping new plot data to </w:t>
      </w:r>
      <w:proofErr w:type="spellStart"/>
      <w:r>
        <w:t>VegX</w:t>
      </w:r>
      <w:proofErr w:type="spellEnd"/>
    </w:p>
    <w:p w:rsidR="007D5389" w:rsidRDefault="007D5389" w:rsidP="007D5389">
      <w:pPr>
        <w:pStyle w:val="ListParagraph"/>
        <w:numPr>
          <w:ilvl w:val="1"/>
          <w:numId w:val="20"/>
        </w:numPr>
      </w:pPr>
      <w:r>
        <w:t>Would enable open-ended acquisition of new data by BIEN</w:t>
      </w:r>
    </w:p>
    <w:p w:rsidR="007D5389" w:rsidRDefault="007D5389" w:rsidP="007D5389">
      <w:pPr>
        <w:pStyle w:val="ListParagraph"/>
        <w:numPr>
          <w:ilvl w:val="1"/>
          <w:numId w:val="20"/>
        </w:numPr>
      </w:pPr>
      <w:r>
        <w:t xml:space="preserve">Similar in concept to </w:t>
      </w:r>
      <w:proofErr w:type="spellStart"/>
      <w:r>
        <w:t>VegBranch</w:t>
      </w:r>
      <w:proofErr w:type="spellEnd"/>
    </w:p>
    <w:p w:rsidR="007D5389" w:rsidRDefault="007D5389" w:rsidP="007D5389">
      <w:pPr>
        <w:pStyle w:val="ListParagraph"/>
        <w:numPr>
          <w:ilvl w:val="1"/>
          <w:numId w:val="20"/>
        </w:numPr>
      </w:pPr>
      <w:r>
        <w:t xml:space="preserve">Possibly develop in cooperation with </w:t>
      </w:r>
      <w:proofErr w:type="spellStart"/>
      <w:r>
        <w:t>Landcare</w:t>
      </w:r>
      <w:proofErr w:type="spellEnd"/>
      <w:r>
        <w:t xml:space="preserve"> Research and the NVS?</w:t>
      </w:r>
    </w:p>
    <w:p w:rsidR="007D5389" w:rsidRDefault="007D5389" w:rsidP="007D5389">
      <w:pPr>
        <w:pStyle w:val="ListParagraph"/>
        <w:numPr>
          <w:ilvl w:val="0"/>
          <w:numId w:val="20"/>
        </w:numPr>
      </w:pPr>
      <w:r>
        <w:t>Data entry tool</w:t>
      </w:r>
    </w:p>
    <w:p w:rsidR="007D5389" w:rsidRDefault="007D5389" w:rsidP="007D5389">
      <w:pPr>
        <w:pStyle w:val="ListParagraph"/>
        <w:numPr>
          <w:ilvl w:val="0"/>
          <w:numId w:val="15"/>
        </w:numPr>
      </w:pPr>
      <w:r>
        <w:t xml:space="preserve">Would allow for controlled entry of plot data that would be both compatible with </w:t>
      </w:r>
      <w:proofErr w:type="spellStart"/>
      <w:r>
        <w:t>VegBIEN</w:t>
      </w:r>
      <w:proofErr w:type="spellEnd"/>
      <w:r>
        <w:t xml:space="preserve">, and allow export as </w:t>
      </w:r>
      <w:proofErr w:type="spellStart"/>
      <w:r>
        <w:t>VegX</w:t>
      </w:r>
      <w:proofErr w:type="spellEnd"/>
    </w:p>
    <w:p w:rsidR="007D5389" w:rsidRDefault="007D5389" w:rsidP="007D5389">
      <w:pPr>
        <w:pStyle w:val="ListParagraph"/>
        <w:numPr>
          <w:ilvl w:val="0"/>
          <w:numId w:val="15"/>
        </w:numPr>
      </w:pPr>
      <w:r>
        <w:t>Support controlled taxonomy using TNRS web services</w:t>
      </w:r>
    </w:p>
    <w:p w:rsidR="007D5389" w:rsidRDefault="007D5389" w:rsidP="007D5389">
      <w:pPr>
        <w:pStyle w:val="ListParagraph"/>
        <w:numPr>
          <w:ilvl w:val="0"/>
          <w:numId w:val="15"/>
        </w:numPr>
      </w:pPr>
      <w:r>
        <w:t>Other controlled vocabulary using BIEN web services</w:t>
      </w:r>
    </w:p>
    <w:p w:rsidR="007D5389" w:rsidRDefault="007D5389" w:rsidP="007D5389">
      <w:pPr>
        <w:pStyle w:val="ListParagraph"/>
        <w:numPr>
          <w:ilvl w:val="0"/>
          <w:numId w:val="15"/>
        </w:numPr>
      </w:pPr>
      <w:r>
        <w:t>Possibly develop in cooperation or with support of Conservation International</w:t>
      </w:r>
    </w:p>
    <w:p w:rsidR="007D5389" w:rsidRDefault="007D5389" w:rsidP="007D5389">
      <w:pPr>
        <w:pStyle w:val="ListParagraph"/>
        <w:ind w:left="1980"/>
      </w:pPr>
    </w:p>
    <w:p w:rsidR="007D5389" w:rsidRDefault="007D5389" w:rsidP="007D5389">
      <w:pPr>
        <w:pStyle w:val="ListParagraph"/>
      </w:pPr>
    </w:p>
    <w:p w:rsidR="007D5389" w:rsidRDefault="007D5389" w:rsidP="007D5389">
      <w:pPr>
        <w:pStyle w:val="ListParagraph"/>
        <w:ind w:left="0"/>
        <w:sectPr w:rsidR="007D5389" w:rsidSect="00223AAF">
          <w:pgSz w:w="12240" w:h="15840"/>
          <w:pgMar w:top="1440" w:right="1800" w:bottom="1440" w:left="1800" w:gutter="0"/>
          <w:docGrid w:linePitch="360"/>
        </w:sectPr>
      </w:pPr>
    </w:p>
    <w:p w:rsidR="007D5389" w:rsidRDefault="007D5389" w:rsidP="007D5389">
      <w:pPr>
        <w:pStyle w:val="ListParagraph"/>
        <w:ind w:left="0"/>
      </w:pPr>
      <w:r>
        <w:t>Proposed Timeline</w:t>
      </w:r>
    </w:p>
    <w:p w:rsidR="007D5389" w:rsidRDefault="007D5389" w:rsidP="007D5389">
      <w:pPr>
        <w:pStyle w:val="ListParagraph"/>
        <w:ind w:left="0"/>
      </w:pPr>
    </w:p>
    <w:tbl>
      <w:tblPr>
        <w:tblW w:w="12380" w:type="dxa"/>
        <w:tblInd w:w="93" w:type="dxa"/>
        <w:tblLook w:val="04A0"/>
      </w:tblPr>
      <w:tblGrid>
        <w:gridCol w:w="3520"/>
        <w:gridCol w:w="760"/>
        <w:gridCol w:w="740"/>
        <w:gridCol w:w="700"/>
        <w:gridCol w:w="740"/>
        <w:gridCol w:w="780"/>
        <w:gridCol w:w="740"/>
        <w:gridCol w:w="800"/>
        <w:gridCol w:w="720"/>
        <w:gridCol w:w="660"/>
        <w:gridCol w:w="760"/>
        <w:gridCol w:w="740"/>
        <w:gridCol w:w="720"/>
      </w:tblGrid>
      <w:tr w:rsidR="007D5389" w:rsidRPr="00C13EDB">
        <w:trPr>
          <w:trHeight w:val="56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5389" w:rsidRPr="00C13EDB" w:rsidRDefault="007D5389" w:rsidP="00223AAF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Milestone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5389" w:rsidRPr="00C13EDB" w:rsidRDefault="007D5389" w:rsidP="00223AA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Nov 2011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5389" w:rsidRPr="00C13EDB" w:rsidRDefault="007D5389" w:rsidP="00223AA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Dec 2011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5389" w:rsidRPr="00C13EDB" w:rsidRDefault="007D5389" w:rsidP="00223AA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Jan 2012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5389" w:rsidRPr="00C13EDB" w:rsidRDefault="007D5389" w:rsidP="00223AA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Feb 2012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5389" w:rsidRPr="00C13EDB" w:rsidRDefault="007D5389" w:rsidP="00223AA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Mar 2012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5389" w:rsidRPr="00C13EDB" w:rsidRDefault="007D5389" w:rsidP="00223AA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Apr 2012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5389" w:rsidRPr="00C13EDB" w:rsidRDefault="007D5389" w:rsidP="00223AA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May 2012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5389" w:rsidRPr="00C13EDB" w:rsidRDefault="007D5389" w:rsidP="00223AA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13ED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Jun  2012</w:t>
            </w:r>
            <w:proofErr w:type="gramEnd"/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5389" w:rsidRPr="00C13EDB" w:rsidRDefault="007D5389" w:rsidP="00223AA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Jul 2012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5389" w:rsidRPr="00C13EDB" w:rsidRDefault="007D5389" w:rsidP="00223AA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Aug 2012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5389" w:rsidRPr="00C13EDB" w:rsidRDefault="007D5389" w:rsidP="00223AA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Sep 2012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389" w:rsidRPr="00C13EDB" w:rsidRDefault="007D5389" w:rsidP="00223AA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Oct 2012</w:t>
            </w:r>
          </w:p>
        </w:tc>
      </w:tr>
      <w:tr w:rsidR="007D5389" w:rsidRPr="00C13EDB">
        <w:trPr>
          <w:trHeight w:val="560"/>
        </w:trPr>
        <w:tc>
          <w:tcPr>
            <w:tcW w:w="352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EBF1DE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Build and test BIEN3 database and import utilities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D5389" w:rsidRPr="00C13EDB">
        <w:trPr>
          <w:trHeight w:val="280"/>
        </w:trPr>
        <w:tc>
          <w:tcPr>
            <w:tcW w:w="352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Revise schemas I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CE6F1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CE6F1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CE6F1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D5389" w:rsidRPr="00C13EDB">
        <w:trPr>
          <w:trHeight w:val="280"/>
        </w:trPr>
        <w:tc>
          <w:tcPr>
            <w:tcW w:w="352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EBF1DE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Load data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D5389" w:rsidRPr="00C13EDB">
        <w:trPr>
          <w:trHeight w:val="280"/>
        </w:trPr>
        <w:tc>
          <w:tcPr>
            <w:tcW w:w="352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Revise schemas II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CE6F1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CE6F1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D5389" w:rsidRPr="00C13EDB">
        <w:trPr>
          <w:trHeight w:val="280"/>
        </w:trPr>
        <w:tc>
          <w:tcPr>
            <w:tcW w:w="352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EBF1DE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Reload data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D5389" w:rsidRPr="00C13EDB">
        <w:trPr>
          <w:trHeight w:val="280"/>
        </w:trPr>
        <w:tc>
          <w:tcPr>
            <w:tcW w:w="352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Validation utilities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CE6F1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CE6F1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CE6F1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D5389" w:rsidRPr="00C13EDB">
        <w:trPr>
          <w:trHeight w:val="280"/>
        </w:trPr>
        <w:tc>
          <w:tcPr>
            <w:tcW w:w="352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EBF1DE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Analytical database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D5389" w:rsidRPr="00C13EDB">
        <w:trPr>
          <w:trHeight w:val="280"/>
        </w:trPr>
        <w:tc>
          <w:tcPr>
            <w:tcW w:w="352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Data provider feedback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CE6F1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CE6F1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D5389" w:rsidRPr="00C13EDB">
        <w:trPr>
          <w:trHeight w:val="280"/>
        </w:trPr>
        <w:tc>
          <w:tcPr>
            <w:tcW w:w="352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EBF1DE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Web interface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7D5389" w:rsidRPr="00C13EDB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000000" w:fill="DCE6F1"/>
          </w:tcPr>
          <w:p w:rsidR="007D5389" w:rsidRPr="00C13EDB" w:rsidRDefault="007D5389" w:rsidP="00223AA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sz w:val="20"/>
                <w:szCs w:val="20"/>
              </w:rPr>
              <w:t>Additional data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DCE6F1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</w:tcPr>
          <w:p w:rsidR="007D5389" w:rsidRPr="00C13EDB" w:rsidRDefault="007D5389" w:rsidP="00223AA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C13EDB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7D5389" w:rsidRDefault="007D5389" w:rsidP="007D5389">
      <w:pPr>
        <w:pStyle w:val="ListParagraph"/>
        <w:ind w:left="0"/>
      </w:pPr>
    </w:p>
    <w:p w:rsidR="007D5389" w:rsidRDefault="007D5389" w:rsidP="007D5389">
      <w:pPr>
        <w:pStyle w:val="ListParagraph"/>
      </w:pPr>
    </w:p>
    <w:p w:rsidR="000F6D48" w:rsidRDefault="007D5389"/>
    <w:sectPr w:rsidR="000F6D48" w:rsidSect="00223AAF">
      <w:pgSz w:w="15840" w:h="12240" w:orient="landscape"/>
      <w:pgMar w:top="1800" w:right="1440" w:bottom="1800" w:left="1440" w:gutter="0"/>
      <w:docGrid w:linePitch="360"/>
    </w:sectPr>
  </w:body>
</w:document>
</file>

<file path=word/comments.xml><?xml version="1.0" encoding="utf-8"?>
<w:comment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tha Narro" w:date="2011-12-15T14:38:00Z" w:initials="MN">
    <w:p w:rsidR="007D5389" w:rsidRDefault="007D5389" w:rsidP="007D5389">
      <w:pPr>
        <w:pStyle w:val="CommentText"/>
      </w:pPr>
      <w:r>
        <w:rPr>
          <w:rStyle w:val="CommentReference"/>
        </w:rPr>
        <w:annotationRef/>
      </w:r>
      <w:r>
        <w:t xml:space="preserve">Do such </w:t>
      </w:r>
      <w:proofErr w:type="spellStart"/>
      <w:r>
        <w:t>georeferencing</w:t>
      </w:r>
      <w:proofErr w:type="spellEnd"/>
      <w:r>
        <w:t xml:space="preserve"> web services exist?</w:t>
      </w:r>
    </w:p>
  </w:comment>
  <w:comment w:id="1" w:author="Martha Narro" w:date="2011-12-15T14:38:00Z" w:initials="MN">
    <w:p w:rsidR="007D5389" w:rsidRDefault="007D5389" w:rsidP="007D5389">
      <w:pPr>
        <w:pStyle w:val="CommentText"/>
      </w:pPr>
      <w:r>
        <w:rPr>
          <w:rStyle w:val="CommentReference"/>
        </w:rPr>
        <w:annotationRef/>
      </w:r>
      <w:r>
        <w:t xml:space="preserve">Based on John </w:t>
      </w:r>
      <w:proofErr w:type="spellStart"/>
      <w:r>
        <w:t>Donoghue’s</w:t>
      </w:r>
      <w:proofErr w:type="spellEnd"/>
      <w:r>
        <w:t xml:space="preserve"> experience, currently there may not be a good service to use, so this could be a problematic dependency.</w:t>
      </w:r>
    </w:p>
  </w:comment>
  <w:comment w:id="2" w:author="Martha Narro" w:date="2011-12-15T14:38:00Z" w:initials="MN">
    <w:p w:rsidR="007D5389" w:rsidRDefault="007D5389" w:rsidP="007D5389">
      <w:pPr>
        <w:pStyle w:val="CommentText"/>
      </w:pPr>
      <w:r>
        <w:rPr>
          <w:rStyle w:val="CommentReference"/>
        </w:rPr>
        <w:annotationRef/>
      </w:r>
      <w:r>
        <w:t>Will Aaron develop the website?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D20"/>
    <w:multiLevelType w:val="hybridMultilevel"/>
    <w:tmpl w:val="FA120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317E18"/>
    <w:multiLevelType w:val="hybridMultilevel"/>
    <w:tmpl w:val="6F06A4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373BDE"/>
    <w:multiLevelType w:val="hybridMultilevel"/>
    <w:tmpl w:val="C9E4B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FC352A"/>
    <w:multiLevelType w:val="hybridMultilevel"/>
    <w:tmpl w:val="396E8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18088B"/>
    <w:multiLevelType w:val="multilevel"/>
    <w:tmpl w:val="6F06A4A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BE0CAB"/>
    <w:multiLevelType w:val="hybridMultilevel"/>
    <w:tmpl w:val="4C90C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181055"/>
    <w:multiLevelType w:val="hybridMultilevel"/>
    <w:tmpl w:val="732008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63596E"/>
    <w:multiLevelType w:val="hybridMultilevel"/>
    <w:tmpl w:val="4C90C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C41E31"/>
    <w:multiLevelType w:val="hybridMultilevel"/>
    <w:tmpl w:val="8A986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D75F70"/>
    <w:multiLevelType w:val="hybridMultilevel"/>
    <w:tmpl w:val="4C90C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2D03D5"/>
    <w:multiLevelType w:val="hybridMultilevel"/>
    <w:tmpl w:val="5F3E2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122113"/>
    <w:multiLevelType w:val="hybridMultilevel"/>
    <w:tmpl w:val="1DB047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F90B92"/>
    <w:multiLevelType w:val="hybridMultilevel"/>
    <w:tmpl w:val="25C8E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21458D"/>
    <w:multiLevelType w:val="hybridMultilevel"/>
    <w:tmpl w:val="BBFC3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837F93"/>
    <w:multiLevelType w:val="hybridMultilevel"/>
    <w:tmpl w:val="0D2A4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0C040B"/>
    <w:multiLevelType w:val="multilevel"/>
    <w:tmpl w:val="2B9E9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846475"/>
    <w:multiLevelType w:val="hybridMultilevel"/>
    <w:tmpl w:val="1DD0F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507087"/>
    <w:multiLevelType w:val="hybridMultilevel"/>
    <w:tmpl w:val="8C6E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76792D"/>
    <w:multiLevelType w:val="hybridMultilevel"/>
    <w:tmpl w:val="1DD0F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1667D4"/>
    <w:multiLevelType w:val="hybridMultilevel"/>
    <w:tmpl w:val="BBFC3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4"/>
  </w:num>
  <w:num w:numId="5">
    <w:abstractNumId w:val="18"/>
  </w:num>
  <w:num w:numId="6">
    <w:abstractNumId w:val="16"/>
  </w:num>
  <w:num w:numId="7">
    <w:abstractNumId w:val="3"/>
  </w:num>
  <w:num w:numId="8">
    <w:abstractNumId w:val="15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  <w:num w:numId="13">
    <w:abstractNumId w:val="0"/>
  </w:num>
  <w:num w:numId="14">
    <w:abstractNumId w:val="17"/>
  </w:num>
  <w:num w:numId="15">
    <w:abstractNumId w:val="12"/>
  </w:num>
  <w:num w:numId="16">
    <w:abstractNumId w:val="2"/>
  </w:num>
  <w:num w:numId="17">
    <w:abstractNumId w:val="1"/>
  </w:num>
  <w:num w:numId="18">
    <w:abstractNumId w:val="4"/>
  </w:num>
  <w:num w:numId="19">
    <w:abstractNumId w:val="1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D5389"/>
    <w:rsid w:val="007D538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89"/>
    <w:pPr>
      <w:spacing w:after="0"/>
    </w:pPr>
    <w:rPr>
      <w:rFonts w:ascii="Cambria" w:eastAsia="ＭＳ 明朝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7D5389"/>
    <w:rPr>
      <w:rFonts w:ascii="Times New Roman" w:hAnsi="Times New Roman"/>
      <w:sz w:val="22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5389"/>
    <w:rPr>
      <w:rFonts w:ascii="Times New Roman" w:eastAsia="ＭＳ 明朝" w:hAnsi="Times New Roman" w:cs="Times New Roman"/>
      <w:sz w:val="22"/>
      <w:szCs w:val="20"/>
      <w:lang/>
    </w:rPr>
  </w:style>
  <w:style w:type="paragraph" w:styleId="Header">
    <w:name w:val="header"/>
    <w:basedOn w:val="Normal"/>
    <w:link w:val="HeaderChar"/>
    <w:autoRedefine/>
    <w:rsid w:val="007D5389"/>
    <w:pPr>
      <w:tabs>
        <w:tab w:val="center" w:pos="4320"/>
        <w:tab w:val="right" w:pos="8640"/>
      </w:tabs>
    </w:pPr>
    <w:rPr>
      <w:rFonts w:ascii="Times New Roman" w:eastAsia="Times New Roman" w:hAnsi="Times New Roman"/>
      <w:b/>
      <w:bCs/>
      <w:caps/>
      <w:sz w:val="22"/>
      <w:szCs w:val="22"/>
      <w:lang/>
    </w:rPr>
  </w:style>
  <w:style w:type="character" w:customStyle="1" w:styleId="HeaderChar">
    <w:name w:val="Header Char"/>
    <w:basedOn w:val="DefaultParagraphFont"/>
    <w:link w:val="Header"/>
    <w:rsid w:val="007D5389"/>
    <w:rPr>
      <w:rFonts w:ascii="Times New Roman" w:eastAsia="Times New Roman" w:hAnsi="Times New Roman" w:cs="Times New Roman"/>
      <w:b/>
      <w:bCs/>
      <w:caps/>
      <w:sz w:val="22"/>
      <w:szCs w:val="22"/>
      <w:lang/>
    </w:rPr>
  </w:style>
  <w:style w:type="paragraph" w:customStyle="1" w:styleId="Subheader">
    <w:name w:val="Subheader"/>
    <w:basedOn w:val="Header"/>
    <w:autoRedefine/>
    <w:qFormat/>
    <w:rsid w:val="007D5389"/>
    <w:pPr>
      <w:keepNext/>
      <w:outlineLvl w:val="0"/>
    </w:pPr>
    <w:rPr>
      <w:caps w:val="0"/>
      <w:lang/>
    </w:rPr>
  </w:style>
  <w:style w:type="paragraph" w:styleId="ListParagraph">
    <w:name w:val="List Paragraph"/>
    <w:basedOn w:val="Normal"/>
    <w:uiPriority w:val="34"/>
    <w:qFormat/>
    <w:rsid w:val="007D53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53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3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389"/>
    <w:rPr>
      <w:rFonts w:ascii="Cambria" w:eastAsia="ＭＳ 明朝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3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3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89"/>
    <w:rPr>
      <w:rFonts w:ascii="Lucida Grande" w:eastAsia="ＭＳ 明朝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4274</Characters>
  <Application>Microsoft Macintosh Word</Application>
  <DocSecurity>0</DocSecurity>
  <Lines>35</Lines>
  <Paragraphs>8</Paragraphs>
  <ScaleCrop>false</ScaleCrop>
  <Company>University of Arizona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Narro</dc:creator>
  <cp:keywords/>
  <cp:lastModifiedBy>Martha Narro</cp:lastModifiedBy>
  <cp:revision>1</cp:revision>
  <dcterms:created xsi:type="dcterms:W3CDTF">2011-12-15T21:38:00Z</dcterms:created>
  <dcterms:modified xsi:type="dcterms:W3CDTF">2011-12-15T21:39:00Z</dcterms:modified>
</cp:coreProperties>
</file>